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w:t>
      </w:r>
      <w:r w:rsidDel="00000000" w:rsidR="00000000" w:rsidRPr="00000000">
        <w:rPr>
          <w:rFonts w:ascii="Arial" w:cs="Arial" w:eastAsia="Arial" w:hAnsi="Arial"/>
          <w:sz w:val="24"/>
          <w:szCs w:val="24"/>
          <w:rtl w:val="0"/>
        </w:rPr>
        <w:t xml:space="preserve">and</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1fob9te" w:id="2"/>
      <w:bookmarkEnd w:id="2"/>
      <w:r w:rsidDel="00000000" w:rsidR="00000000" w:rsidRPr="00000000">
        <w:rPr>
          <w:rFonts w:ascii="Arial" w:cs="Arial" w:eastAsia="Arial" w:hAnsi="Arial"/>
          <w:b w:val="1"/>
          <w:color w:val="000000"/>
          <w:sz w:val="24"/>
          <w:szCs w:val="24"/>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will be fixed for the first</w:t>
      </w:r>
      <w:r w:rsidDel="00000000" w:rsidR="00000000" w:rsidRPr="00000000">
        <w:rPr>
          <w:rFonts w:ascii="Arial" w:cs="Arial" w:eastAsia="Arial" w:hAnsi="Arial"/>
          <w:sz w:val="24"/>
          <w:szCs w:val="24"/>
          <w:rtl w:val="0"/>
        </w:rPr>
        <w:t xml:space="preserve"> one (1) </w:t>
      </w:r>
      <w:r w:rsidDel="00000000" w:rsidR="00000000" w:rsidRPr="00000000">
        <w:rPr>
          <w:rFonts w:ascii="Arial" w:cs="Arial" w:eastAsia="Arial" w:hAnsi="Arial"/>
          <w:color w:val="000000"/>
          <w:sz w:val="24"/>
          <w:szCs w:val="24"/>
          <w:rtl w:val="0"/>
        </w:rPr>
        <w:t xml:space="preserve">year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w1diistj9q3i" w:id="3"/>
      <w:bookmarkEnd w:id="3"/>
      <w:r w:rsidDel="00000000" w:rsidR="00000000" w:rsidRPr="00000000">
        <w:rPr>
          <w:rFonts w:ascii="Arial" w:cs="Arial" w:eastAsia="Arial" w:hAnsi="Arial"/>
          <w:sz w:val="24"/>
          <w:szCs w:val="24"/>
          <w:rtl w:val="0"/>
        </w:rPr>
        <w:t xml:space="preserve">Framework price increases shall not automatically trigger Call-Off Contract price increases. Any Call-Off Contract price increases shall be considered between the Supplier and Buyer.</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 </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hanging="1701"/>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[G</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CCS shall consider each request for a price increase.  CCS may grant Approval to an increase at its sole discretion.</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no Benchmarking Schedule:: a benchmarking review in accordance with Call Off Schedule 16 (Benchmarking)]</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rPr>
          <w:rFonts w:ascii="Arial" w:cs="Arial" w:eastAsia="Arial" w:hAnsi="Arial"/>
          <w:b w:val="1"/>
          <w:i w:val="1"/>
          <w:color w:val="000000"/>
          <w:sz w:val="24"/>
          <w:szCs w:val="24"/>
        </w:rPr>
      </w:pPr>
      <w:bookmarkStart w:colFirst="0" w:colLast="0" w:name="_heading=h.1t3h5sf"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i w:val="1"/>
          <w:color w:val="000000"/>
          <w:sz w:val="24"/>
          <w:szCs w:val="24"/>
        </w:rPr>
      </w:pPr>
      <w:bookmarkStart w:colFirst="0" w:colLast="0" w:name="_heading=h.2imo2op5fs3m" w:id="6"/>
      <w:bookmarkEnd w:id="6"/>
      <w:r w:rsidDel="00000000" w:rsidR="00000000" w:rsidRPr="00000000">
        <w:rPr>
          <w:rFonts w:ascii="Arial" w:cs="Arial" w:eastAsia="Arial" w:hAnsi="Arial"/>
          <w:b w:val="1"/>
          <w:color w:val="000000"/>
          <w:rtl w:val="0"/>
        </w:rPr>
        <w:t xml:space="preserve">Redacted under FOIA section 43, Commercial Interses</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RM6353 Tyres, Glass and Telematics</w:t>
      <w:tab/>
      <w:t xml:space="preserve">                                           </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line="240" w:lineRule="auto"/>
    </w:pPr>
    <w:tblPr>
      <w:tblStyleRowBandSize w:val="1"/>
      <w:tblStyleColBandSize w:val="1"/>
      <w:tblCellMar>
        <w:left w:w="115.0" w:type="dxa"/>
        <w:right w:w="115.0" w:type="dxa"/>
      </w:tblCellMar>
    </w:tblPr>
  </w:style>
  <w:style w:type="table" w:styleId="a3" w:customStyle="1">
    <w:basedOn w:val="TableNormal"/>
    <w:pPr>
      <w:spacing w:after="0" w:line="240" w:lineRule="auto"/>
    </w:pPr>
    <w:tblPr>
      <w:tblStyleRowBandSize w:val="1"/>
      <w:tblStyleColBandSize w:val="1"/>
      <w:tblCellMar>
        <w:left w:w="115.0" w:type="dxa"/>
        <w:right w:w="115.0" w:type="dxa"/>
      </w:tblCellMar>
    </w:tblPr>
  </w:style>
  <w:style w:type="table" w:styleId="a4" w:customStyle="1">
    <w:basedOn w:val="TableNormal"/>
    <w:pPr>
      <w:spacing w:after="0" w:line="240" w:lineRule="auto"/>
    </w:pPr>
    <w:tblPr>
      <w:tblStyleRowBandSize w:val="1"/>
      <w:tblStyleColBandSize w:val="1"/>
      <w:tblCellMar>
        <w:left w:w="115.0" w:type="dxa"/>
        <w:right w:w="115.0" w:type="dxa"/>
      </w:tblCellMar>
    </w:tblPr>
  </w:style>
  <w:style w:type="table" w:styleId="a5" w:customStyle="1">
    <w:basedOn w:val="TableNormal"/>
    <w:pPr>
      <w:spacing w:after="0" w:line="240" w:lineRule="auto"/>
    </w:pPr>
    <w:tblPr>
      <w:tblStyleRowBandSize w:val="1"/>
      <w:tblStyleColBandSize w:val="1"/>
      <w:tblCellMar>
        <w:left w:w="115.0" w:type="dxa"/>
        <w:right w:w="115.0" w:type="dxa"/>
      </w:tblCellMar>
    </w:tblPr>
  </w:style>
  <w:style w:type="table" w:styleId="a6" w:customStyle="1">
    <w:basedOn w:val="TableNormal"/>
    <w:pPr>
      <w:spacing w:after="0" w:line="240" w:lineRule="auto"/>
    </w:pPr>
    <w:tblPr>
      <w:tblStyleRowBandSize w:val="1"/>
      <w:tblStyleColBandSize w:val="1"/>
      <w:tblCellMar>
        <w:left w:w="115.0" w:type="dxa"/>
        <w:right w:w="115.0" w:type="dxa"/>
      </w:tblCellMar>
    </w:tblPr>
  </w:style>
  <w:style w:type="table" w:styleId="a7" w:customStyle="1">
    <w:basedOn w:val="TableNormal"/>
    <w:pPr>
      <w:spacing w:after="0" w:line="240" w:lineRule="auto"/>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v4UB9X1QUSmAWoP+mbqxAmcXnQ==">CgMxLjAyCGguZ2pkZ3hzMgloLjMwajB6bGwyCWguMWZvYjl0ZTIOaC53MWRpaXN0ajlxM2kyCWguMmV0OTJwMDIJaC4xdDNoNXNmMg5oLjJpbW8yb3A1ZnMzbTgAciExMkR2VzZpQlE0elc1UGFlZ3h6RmpHQVB5RHBoa0l0eU0=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